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024E11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Некрасова, дом № 11А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024E11" w:rsidRPr="00E455B4">
        <w:rPr>
          <w:rFonts w:ascii="Times New Roman" w:hAnsi="Times New Roman" w:cs="Times New Roman"/>
          <w:noProof/>
          <w:sz w:val="26"/>
          <w:szCs w:val="26"/>
        </w:rPr>
        <w:t>в первом полугодии - по фактическому расходу общедомового прибора учета без учета индивидуальных приборов учета, во втором полугодии - по фактическому расходу общедомового прибора учета с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18976,10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1815,514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194,649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1620,865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1620,865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176,85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18976,10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1229,179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230,604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998,575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668,160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330,415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4E1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36,95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6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24E11"/>
    <w:rsid w:val="00076724"/>
    <w:rsid w:val="001562F2"/>
    <w:rsid w:val="00185F54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C055F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7E2A-4398-4AA5-BA56-DF73EE7A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2019-01-22T15:23:00Z</dcterms:created>
  <dcterms:modified xsi:type="dcterms:W3CDTF">2019-01-22T15:23:00Z</dcterms:modified>
</cp:coreProperties>
</file>